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hd w:val="clear" w:color="auto" w:fill="ffffff"/>
        <w:spacing/>
        <w:ind w:firstLine="470" w:left="34"/>
        <w:jc w:val="right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ПРО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Є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КТ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b/>
          <w:color w:val="auto"/>
          <w:sz w:val="28"/>
          <w:szCs w:val="28"/>
          <w:lang w:val="uk-UA"/>
        </w:rPr>
      </w:pPr>
      <w:r>
        <w:rPr>
          <w:rFonts w:ascii="Times New Roman" w:hAnsi="Times New Roman"/>
          <w:b/>
          <w:color w:val="auto"/>
          <w:sz w:val="28"/>
          <w:szCs w:val="28"/>
          <w:lang w:val="uk-UA"/>
        </w:rPr>
        <w:t xml:space="preserve">Звіт про виконання регіональної програми за 2024 рік</w:t>
      </w:r>
      <w:r>
        <w:rPr>
          <w:rFonts w:ascii="Times New Roman" w:hAnsi="Times New Roman"/>
          <w:b/>
          <w:color w:val="auto"/>
          <w:sz w:val="28"/>
          <w:szCs w:val="28"/>
          <w:lang w:val="uk-UA"/>
        </w:rPr>
      </w:r>
    </w:p>
    <w:tbl>
      <w:tblPr>
        <w:tblW w:w="15309" w:type="dxa"/>
        <w:tblInd w:w="108" w:type="dxa"/>
        <w:tblBorders/>
        <w:tblLook w:val="01E0" w:firstRow="1" w:lastRow="1" w:firstColumn="1" w:lastColumn="1" w:noHBand="0" w:noVBand="0"/>
      </w:tblPr>
      <w:tblGrid>
        <w:gridCol w:w="720"/>
        <w:gridCol w:w="1440"/>
        <w:gridCol w:w="13149"/>
      </w:tblGrid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2918110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найменування головного розпорядника коштів програми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2918110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Департамент з питань цивільного захисту та оборонної роботи облдержадміністрації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0"/>
                <w:lang w:val="uk-UA"/>
              </w:rPr>
            </w:pP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найменування відповідального виконавця програми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3.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2918110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Цільова соціальна програма розвитку цивільного захисту Чернігівської області на 2021-2025 роки, яка затверджена рішенням 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другої (позачергової) сесії обласної ради восьмого скликання від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26 січня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  <w:t xml:space="preserve"> 2021 року  № 15-2/</w:t>
            </w: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VIII</w:t>
            </w:r>
            <w:r>
              <w:rPr>
                <w:rFonts w:ascii="Times New Roman" w:hAnsi="Times New Roman"/>
                <w:sz w:val="28"/>
                <w:szCs w:val="28"/>
                <w:lang w:val="uk-UA" w:eastAsia="zh-CN"/>
              </w:rPr>
            </w:r>
          </w:p>
        </w:tc>
      </w:tr>
      <w:tr>
        <w:trPr/>
        <w:tc>
          <w:tcPr>
            <w:tcBorders/>
            <w:tcW w:w="72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4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КВКВ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31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найменування програми, дата і номер рішення обласної ради про її затвердження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</w:tbl>
    <w:p>
      <w:pPr>
        <w:pBdr/>
        <w:shd w:val="clear" w:color="auto" w:fill="ffffff"/>
        <w:spacing/>
        <w:ind w:firstLine="470" w:left="34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</w: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4. Напрями діяльності та заходи регіональної цільової програми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u w:val="single"/>
          <w:lang w:val="uk-UA"/>
        </w:rPr>
        <w:t xml:space="preserve">Цільова соціальна програма розвитку цивільного захисту Чернігівської області на 2021-2025 роки____________________________________________________________________</w:t>
      </w: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                                                                                                                                  (назва програми)</w:t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16"/>
          <w:szCs w:val="16"/>
          <w:lang w:val="uk-UA"/>
        </w:rPr>
      </w:pPr>
      <w:r>
        <w:rPr>
          <w:rFonts w:ascii="Times New Roman" w:hAnsi="Times New Roman"/>
          <w:color w:val="auto"/>
          <w:sz w:val="16"/>
          <w:szCs w:val="16"/>
          <w:lang w:val="uk-UA"/>
        </w:rPr>
      </w:r>
      <w:r>
        <w:rPr>
          <w:rFonts w:ascii="Times New Roman" w:hAnsi="Times New Roman"/>
          <w:color w:val="auto"/>
          <w:sz w:val="16"/>
          <w:szCs w:val="16"/>
          <w:lang w:val="uk-UA"/>
        </w:rPr>
      </w:r>
    </w:p>
    <w:tbl>
      <w:tblPr>
        <w:tblW w:w="154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738"/>
        <w:gridCol w:w="1409"/>
        <w:gridCol w:w="436"/>
        <w:gridCol w:w="6"/>
        <w:gridCol w:w="564"/>
        <w:gridCol w:w="14"/>
        <w:gridCol w:w="1081"/>
        <w:gridCol w:w="6"/>
        <w:gridCol w:w="1374"/>
        <w:gridCol w:w="12"/>
        <w:gridCol w:w="708"/>
        <w:gridCol w:w="6"/>
        <w:gridCol w:w="776"/>
        <w:gridCol w:w="6"/>
        <w:gridCol w:w="409"/>
        <w:gridCol w:w="6"/>
        <w:gridCol w:w="534"/>
        <w:gridCol w:w="12"/>
        <w:gridCol w:w="1114"/>
        <w:gridCol w:w="6"/>
        <w:gridCol w:w="1407"/>
        <w:gridCol w:w="6"/>
        <w:gridCol w:w="624"/>
        <w:gridCol w:w="6"/>
        <w:gridCol w:w="610"/>
        <w:gridCol w:w="6"/>
        <w:gridCol w:w="2047"/>
        <w:gridCol w:w="6"/>
      </w:tblGrid>
      <w:tr>
        <w:trPr/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№ з/п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Захід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Головний виконавець та строк виконання заходу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4989" w:type="dxa"/>
            <w:textDirection w:val="lrTb"/>
            <w:noWrap w:val="false"/>
          </w:tcPr>
          <w:p>
            <w:pPr>
              <w:pBdr/>
              <w:spacing/>
              <w:ind w:right="-113" w:left="-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2"/>
            <w:tcBorders/>
            <w:tcW w:w="474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видатки, тис. грн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2053" w:type="dxa"/>
            <w:vMerge w:val="restart"/>
            <w:textDirection w:val="lrTb"/>
            <w:noWrap w:val="false"/>
          </w:tcPr>
          <w:p>
            <w:pPr>
              <w:pBdr/>
              <w:spacing/>
              <w:ind w:right="-120" w:left="-108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Стан виконання заходів (результативні показники виконання програми)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trHeight w:val="0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442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54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415" w:type="dxa"/>
            <w:vAlign w:val="center"/>
            <w:vMerge w:val="restart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10"/>
            <w:tcBorders/>
            <w:tcW w:w="432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 тому числі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trHeight w:val="2541"/>
        </w:trPr>
        <w:tc>
          <w:tcPr>
            <w:tcBorders/>
            <w:tcW w:w="530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09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442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78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087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38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14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782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415" w:type="dxa"/>
            <w:vAlign w:val="center"/>
            <w:vMerge w:val="continue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54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обласний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12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районний, міський (міст обласного підпорядкування) бюджети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413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бюджети сіл, селищ, міст районного підпорядкування 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br/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(в 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т.ч</w:t>
            </w:r>
            <w:r>
              <w:rPr>
                <w:rFonts w:ascii="Times New Roman" w:hAnsi="Times New Roman"/>
                <w:color w:val="auto"/>
                <w:sz w:val="20"/>
                <w:lang w:val="uk-UA"/>
              </w:rPr>
              <w:t xml:space="preserve">. об’єднаних територіальних громад)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30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кошти небюджетних джерел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616" w:type="dxa"/>
            <w:vAlign w:val="center"/>
            <w:textDirection w:val="btLr"/>
            <w:noWrap w:val="false"/>
          </w:tcPr>
          <w:p>
            <w:pPr>
              <w:pBdr/>
              <w:spacing/>
              <w:ind w:right="113" w:left="113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довідково: державний бюджет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2053" w:type="dxa"/>
            <w:vAlign w:val="center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cantSplit/>
          <w:gridAfter w:val="1"/>
          <w:trHeight w:val="261"/>
        </w:trPr>
        <w:tc>
          <w:tcPr>
            <w:tcBorders/>
            <w:tcW w:w="530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 w:right="-1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43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41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20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</w:tr>
      <w:tr>
        <w:trPr>
          <w:cantSplit/>
          <w:gridAfter w:val="1"/>
          <w:trHeight w:val="1691"/>
        </w:trPr>
        <w:tc>
          <w:tcPr>
            <w:tcBorders/>
            <w:tcW w:w="530" w:type="dxa"/>
            <w:vMerge w:val="continue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 w:right="-108" w:left="-1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1.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Створення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та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поповнення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регіонального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матеріального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резерву.</w:t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  <w:p>
            <w:pPr>
              <w:pBdr/>
              <w:spacing/>
              <w:ind w:right="-108"/>
              <w:jc w:val="both"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  <w:tc>
          <w:tcPr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р.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436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70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70" w:type="dxa"/>
            <w:textDirection w:val="btLr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70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0,0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09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38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2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782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415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4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39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439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3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2053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/>
                <w:szCs w:val="24"/>
                <w:lang w:val="ru-RU"/>
              </w:rPr>
            </w:pPr>
            <w:r>
              <w:rPr>
                <w:rFonts w:ascii="Times New Roman" w:hAnsi="Times New Roman"/>
                <w:szCs w:val="24"/>
                <w:lang w:val="ru-RU"/>
              </w:rPr>
              <w:t xml:space="preserve">Поповненено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регіональний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матеріальний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резерв для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проведення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аварійно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-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відновлюваних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робіт</w:t>
            </w:r>
            <w:r>
              <w:rPr>
                <w:rFonts w:ascii="Times New Roman" w:hAnsi="Times New Roman"/>
                <w:szCs w:val="24"/>
                <w:lang w:val="ru-RU"/>
              </w:rPr>
              <w:t xml:space="preserve">.</w:t>
            </w:r>
            <w:r>
              <w:rPr>
                <w:rFonts w:ascii="Times New Roman" w:hAnsi="Times New Roman"/>
                <w:szCs w:val="24"/>
                <w:lang w:val="ru-RU"/>
              </w:rPr>
            </w:r>
          </w:p>
        </w:tc>
      </w:tr>
      <w:tr>
        <w:trPr>
          <w:cantSplit/>
          <w:gridAfter w:val="1"/>
          <w:trHeight w:val="2205"/>
        </w:trPr>
        <w:tc>
          <w:tcPr>
            <w:tcBorders/>
            <w:tcW w:w="530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738" w:type="dxa"/>
            <w:textDirection w:val="lrTb"/>
            <w:noWrap w:val="false"/>
          </w:tcPr>
          <w:p>
            <w:pPr>
              <w:pBdr/>
              <w:spacing/>
              <w:ind w:right="-108"/>
              <w:jc w:val="both"/>
              <w:rPr>
                <w:rFonts w:ascii="Times New Roman" w:hAnsi="Times New Roman"/>
                <w:szCs w:val="24"/>
                <w:lang w:val="uk-UA"/>
              </w:rPr>
            </w:pPr>
            <w:r>
              <w:rPr>
                <w:rFonts w:ascii="Times New Roman" w:hAnsi="Times New Roman"/>
                <w:szCs w:val="24"/>
                <w:lang w:val="uk-UA"/>
              </w:rPr>
              <w:t xml:space="preserve">2.Розвиток системи 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зв’язку,оповіщення</w:t>
            </w:r>
            <w:r>
              <w:rPr>
                <w:rFonts w:ascii="Times New Roman" w:hAnsi="Times New Roman"/>
                <w:szCs w:val="24"/>
                <w:lang w:val="uk-UA"/>
              </w:rPr>
              <w:t xml:space="preserve"> та інформатизації цивільного захисту</w:t>
            </w:r>
            <w:r>
              <w:rPr>
                <w:rFonts w:ascii="Times New Roman" w:hAnsi="Times New Roman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140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Департа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-мент з питань ЦЗ та ОР ОДА,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2024 р.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shd w:val="clear" w:color="auto" w:fill="auto"/>
            <w:tcBorders/>
            <w:tcW w:w="43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1467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57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467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09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138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72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shd w:val="clear" w:color="auto" w:fill="auto"/>
            <w:tcBorders/>
            <w:tcW w:w="782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415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1027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540" w:type="dxa"/>
            <w:textDirection w:val="btLr"/>
            <w:noWrap w:val="false"/>
          </w:tcPr>
          <w:p>
            <w:pPr>
              <w:pBdr/>
              <w:spacing/>
              <w:ind w:right="113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1027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,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5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12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1413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30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616" w:type="dxa"/>
            <w:textDirection w:val="btLr"/>
            <w:noWrap w:val="false"/>
          </w:tcPr>
          <w:p>
            <w:pPr>
              <w:pBdr/>
              <w:spacing w:after="200" w:line="276" w:lineRule="auto"/>
              <w:ind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 w:val="28"/>
                <w:szCs w:val="28"/>
                <w:lang w:val="uk-UA"/>
              </w:rPr>
            </w:r>
          </w:p>
        </w:tc>
        <w:tc>
          <w:tcPr>
            <w:gridSpan w:val="2"/>
            <w:tcBorders/>
            <w:tcW w:w="2053" w:type="dxa"/>
            <w:textDirection w:val="lrTb"/>
            <w:noWrap w:val="false"/>
          </w:tcPr>
          <w:p>
            <w:pPr>
              <w:pStyle w:val="630"/>
              <w:pBdr/>
              <w:shd w:val="clear" w:color="auto" w:fill="ffffff"/>
              <w:spacing/>
              <w:ind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Підтримано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модернізовану</w:t>
            </w:r>
            <w:r>
              <w:rPr>
                <w:b w:val="0"/>
                <w:sz w:val="24"/>
                <w:szCs w:val="24"/>
                <w:lang w:val="ru-RU"/>
              </w:rPr>
              <w:t xml:space="preserve"> систему </w:t>
            </w:r>
            <w:r>
              <w:rPr>
                <w:b w:val="0"/>
                <w:sz w:val="24"/>
                <w:szCs w:val="24"/>
                <w:lang w:val="ru-RU"/>
              </w:rPr>
              <w:t xml:space="preserve">оповіщення</w:t>
            </w:r>
            <w:r>
              <w:rPr>
                <w:b w:val="0"/>
                <w:sz w:val="24"/>
                <w:szCs w:val="24"/>
                <w:lang w:val="ru-RU"/>
              </w:rPr>
              <w:t xml:space="preserve"> у </w:t>
            </w:r>
            <w:r>
              <w:rPr>
                <w:b w:val="0"/>
                <w:sz w:val="24"/>
                <w:szCs w:val="24"/>
                <w:lang w:val="ru-RU"/>
              </w:rPr>
              <w:t xml:space="preserve">працездатному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стані</w:t>
            </w:r>
            <w:r>
              <w:rPr>
                <w:b w:val="0"/>
                <w:sz w:val="24"/>
                <w:szCs w:val="24"/>
                <w:lang w:val="ru-RU"/>
              </w:rPr>
              <w:t xml:space="preserve">.</w:t>
            </w:r>
            <w:r>
              <w:t xml:space="preserve"> </w:t>
            </w:r>
            <w:r>
              <w:rPr>
                <w:b w:val="0"/>
                <w:sz w:val="24"/>
                <w:szCs w:val="24"/>
              </w:rPr>
              <w:t xml:space="preserve">Забезпечено </w:t>
            </w:r>
            <w:r>
              <w:rPr>
                <w:b w:val="0"/>
                <w:sz w:val="24"/>
                <w:szCs w:val="24"/>
                <w:lang w:val="ru-RU"/>
              </w:rPr>
              <w:t xml:space="preserve">технічний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захист</w:t>
            </w:r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  <w:lang w:val="ru-RU"/>
              </w:rPr>
              <w:t xml:space="preserve">інформації</w:t>
            </w:r>
            <w:r>
              <w:rPr>
                <w:b w:val="0"/>
                <w:sz w:val="24"/>
                <w:szCs w:val="24"/>
                <w:lang w:val="ru-RU"/>
              </w:rPr>
              <w:t xml:space="preserve">.</w:t>
            </w:r>
            <w:r>
              <w:rPr>
                <w:b w:val="0"/>
                <w:sz w:val="24"/>
                <w:szCs w:val="24"/>
                <w:lang w:val="ru-RU"/>
              </w:rPr>
            </w:r>
          </w:p>
        </w:tc>
      </w:tr>
    </w:tbl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</w:r>
      <w:r>
        <w:rPr>
          <w:rFonts w:ascii="Times New Roman" w:hAnsi="Times New Roman"/>
          <w:color w:val="auto"/>
          <w:szCs w:val="24"/>
          <w:lang w:val="uk-UA"/>
        </w:rPr>
      </w:r>
    </w:p>
    <w:p>
      <w:pPr>
        <w:pBdr/>
        <w:shd w:val="clear" w:color="auto" w:fill="ffffff"/>
        <w:spacing/>
        <w:ind w:firstLine="146" w:left="34"/>
        <w:jc w:val="both"/>
        <w:rPr>
          <w:rFonts w:ascii="Times New Roman" w:hAnsi="Times New Roman"/>
          <w:color w:val="auto"/>
          <w:sz w:val="28"/>
          <w:szCs w:val="28"/>
          <w:lang w:val="uk-UA"/>
        </w:rPr>
      </w:pPr>
      <w:r>
        <w:rPr>
          <w:rFonts w:ascii="Times New Roman" w:hAnsi="Times New Roman"/>
          <w:color w:val="auto"/>
          <w:sz w:val="28"/>
          <w:szCs w:val="28"/>
          <w:lang w:val="uk-UA"/>
        </w:rPr>
        <w:t xml:space="preserve">5. Аналіз виконання за видатками в цілому за програмою:</w:t>
      </w:r>
      <w:r>
        <w:rPr>
          <w:rFonts w:ascii="Times New Roman" w:hAnsi="Times New Roman"/>
          <w:color w:val="auto"/>
          <w:sz w:val="28"/>
          <w:szCs w:val="28"/>
          <w:lang w:val="uk-UA"/>
        </w:rPr>
      </w:r>
    </w:p>
    <w:p>
      <w:pPr>
        <w:pBdr/>
        <w:shd w:val="clear" w:color="auto" w:fill="ffffff"/>
        <w:spacing/>
        <w:ind w:firstLine="146" w:left="34"/>
        <w:jc w:val="right"/>
        <w:rPr>
          <w:rFonts w:ascii="Times New Roman" w:hAnsi="Times New Roman"/>
          <w:color w:val="auto"/>
          <w:szCs w:val="24"/>
          <w:lang w:val="uk-UA"/>
        </w:rPr>
      </w:pPr>
      <w:r>
        <w:rPr>
          <w:rFonts w:ascii="Times New Roman" w:hAnsi="Times New Roman"/>
          <w:color w:val="auto"/>
          <w:szCs w:val="24"/>
          <w:lang w:val="uk-UA"/>
        </w:rPr>
        <w:t xml:space="preserve">тис. грн.</w:t>
      </w:r>
      <w:r>
        <w:rPr>
          <w:rFonts w:ascii="Times New Roman" w:hAnsi="Times New Roman"/>
          <w:color w:val="auto"/>
          <w:szCs w:val="24"/>
          <w:lang w:val="uk-UA"/>
        </w:rPr>
      </w:r>
    </w:p>
    <w:tbl>
      <w:tblPr>
        <w:tblW w:w="15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261"/>
        <w:gridCol w:w="2249"/>
        <w:gridCol w:w="2501"/>
        <w:gridCol w:w="1610"/>
        <w:gridCol w:w="1843"/>
        <w:gridCol w:w="1586"/>
        <w:gridCol w:w="15"/>
        <w:gridCol w:w="1242"/>
        <w:gridCol w:w="1452"/>
        <w:gridCol w:w="1586"/>
        <w:gridCol w:w="15"/>
      </w:tblGrid>
      <w:tr>
        <w:trPr/>
        <w:tc>
          <w:tcPr>
            <w:gridSpan w:val="3"/>
            <w:tcBorders/>
            <w:tcW w:w="601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Бюджетні асигнування з урахуванням змін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4"/>
            <w:tcBorders/>
            <w:tcW w:w="505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Проведені видатки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4"/>
            <w:tcBorders/>
            <w:tcW w:w="429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Відхилення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gridAfter w:val="1"/>
          <w:trHeight w:val="570"/>
        </w:trPr>
        <w:tc>
          <w:tcPr>
            <w:tcBorders/>
            <w:tcW w:w="12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22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25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 w:hanging="2"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gridSpan w:val="2"/>
            <w:tcBorders/>
            <w:tcW w:w="1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усього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загальний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спеціальний фонд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</w:tr>
      <w:tr>
        <w:trPr>
          <w:gridAfter w:val="1"/>
          <w:trHeight w:val="58"/>
        </w:trPr>
        <w:tc>
          <w:tcPr>
            <w:tcBorders/>
            <w:tcW w:w="126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21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67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,5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224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</w:rPr>
              <w:t xml:space="preserve">21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67,5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250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610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466,8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843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1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466,8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r>
          </w:p>
        </w:tc>
        <w:tc>
          <w:tcPr>
            <w:gridSpan w:val="2"/>
            <w:tcBorders/>
            <w:tcW w:w="1257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700,7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452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700,7</w:t>
            </w:r>
            <w:r>
              <w:rPr>
                <w:rFonts w:ascii="Times New Roman" w:hAnsi="Times New Roman"/>
                <w:color w:val="auto"/>
                <w:szCs w:val="24"/>
                <w:lang w:val="uk-UA"/>
              </w:rPr>
            </w:r>
          </w:p>
        </w:tc>
        <w:tc>
          <w:tcPr>
            <w:tcBorders/>
            <w:tcW w:w="158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pPr>
            <w:r>
              <w:rPr>
                <w:rFonts w:ascii="Times New Roman" w:hAnsi="Times New Roman"/>
                <w:color w:val="auto"/>
                <w:szCs w:val="24"/>
                <w:lang w:val="uk-UA"/>
              </w:rPr>
              <w:t xml:space="preserve">-</w:t>
            </w:r>
            <w:r>
              <w:rPr>
                <w:rFonts w:ascii="Times New Roman" w:hAnsi="Times New Roman"/>
                <w:color w:val="auto"/>
                <w:szCs w:val="24"/>
                <w:highlight w:val="yellow"/>
                <w:lang w:val="uk-UA"/>
              </w:rPr>
            </w:r>
          </w:p>
        </w:tc>
      </w:tr>
    </w:tbl>
    <w:p>
      <w:pPr>
        <w:pBdr/>
        <w:spacing/>
        <w:ind w:right="152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</w:r>
      <w:r>
        <w:rPr>
          <w:rFonts w:ascii="Times New Roman" w:hAnsi="Times New Roman"/>
          <w:b/>
          <w:sz w:val="26"/>
          <w:szCs w:val="26"/>
          <w:lang w:val="ru-RU"/>
        </w:rPr>
      </w:r>
    </w:p>
    <w:p>
      <w:pPr>
        <w:pBdr/>
        <w:spacing/>
        <w:ind w:right="152" w:firstLine="284"/>
        <w:jc w:val="both"/>
        <w:rPr>
          <w:rFonts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b/>
          <w:sz w:val="26"/>
          <w:szCs w:val="26"/>
          <w:lang w:val="ru-RU"/>
        </w:rPr>
      </w:r>
      <w:r>
        <w:rPr>
          <w:rFonts w:ascii="Times New Roman" w:hAnsi="Times New Roman"/>
          <w:b/>
          <w:sz w:val="26"/>
          <w:szCs w:val="26"/>
          <w:lang w:val="ru-RU"/>
        </w:rPr>
      </w:r>
    </w:p>
    <w:sectPr>
      <w:footnotePr/>
      <w:endnotePr/>
      <w:type w:val="nextPage"/>
      <w:pgSz w:h="11906" w:orient="landscape" w:w="16838"/>
      <w:pgMar w:top="567" w:right="850" w:bottom="426" w:left="850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Antiqua">
    <w:panose1 w:val="020B06030308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splitPgBreakAndParaMark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uk-UA" w:eastAsia="uk-UA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1"/>
    <w:link w:val="63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1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1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1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1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1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1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1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1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1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1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1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31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1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1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1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1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1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1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1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1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1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1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1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1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3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31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  <w:rPr>
      <w:rFonts w:ascii="Antiqua" w:hAnsi="Antiqua" w:eastAsia="Times New Roman"/>
      <w:color w:val="000000"/>
      <w:sz w:val="24"/>
      <w:lang w:val="en-US" w:eastAsia="ru-RU"/>
    </w:rPr>
  </w:style>
  <w:style w:type="paragraph" w:styleId="630">
    <w:name w:val="Heading 1"/>
    <w:basedOn w:val="629"/>
    <w:next w:val="629"/>
    <w:link w:val="634"/>
    <w:uiPriority w:val="99"/>
    <w:qFormat/>
    <w:pPr>
      <w:keepNext w:val="true"/>
      <w:pBdr/>
      <w:spacing/>
      <w:ind/>
      <w:jc w:val="center"/>
      <w:outlineLvl w:val="0"/>
    </w:pPr>
    <w:rPr>
      <w:rFonts w:ascii="Times New Roman" w:hAnsi="Times New Roman"/>
      <w:b/>
      <w:bCs/>
      <w:color w:val="auto"/>
      <w:sz w:val="28"/>
      <w:szCs w:val="28"/>
      <w:lang w:val="uk-UA"/>
    </w:rPr>
  </w:style>
  <w:style w:type="character" w:styleId="631" w:default="1">
    <w:name w:val="Default Paragraph Font"/>
    <w:uiPriority w:val="1"/>
    <w:semiHidden/>
    <w:unhideWhenUsed/>
    <w:pPr>
      <w:pBdr/>
      <w:spacing/>
      <w:ind/>
    </w:pPr>
  </w:style>
  <w:style w:type="table" w:styleId="63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3" w:default="1">
    <w:name w:val="No List"/>
    <w:uiPriority w:val="99"/>
    <w:semiHidden/>
    <w:unhideWhenUsed/>
    <w:pPr>
      <w:pBdr/>
      <w:spacing/>
      <w:ind/>
    </w:pPr>
  </w:style>
  <w:style w:type="character" w:styleId="634" w:customStyle="1">
    <w:name w:val="Заголовок 1 Знак"/>
    <w:link w:val="630"/>
    <w:uiPriority w:val="99"/>
    <w:pPr>
      <w:pBdr/>
      <w:spacing/>
      <w:ind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635" w:customStyle="1">
    <w:name w:val="Знак Знак Знак Знак"/>
    <w:basedOn w:val="629"/>
    <w:uiPriority w:val="99"/>
    <w:pPr>
      <w:pBdr/>
      <w:spacing/>
      <w:ind/>
    </w:pPr>
    <w:rPr>
      <w:rFonts w:ascii="Verdana" w:hAnsi="Verdana" w:cs="Verdana"/>
      <w:color w:val="auto"/>
      <w:sz w:val="20"/>
      <w:lang w:eastAsia="en-US"/>
    </w:rPr>
  </w:style>
  <w:style w:type="paragraph" w:styleId="636">
    <w:name w:val="List Paragraph"/>
    <w:basedOn w:val="629"/>
    <w:uiPriority w:val="99"/>
    <w:qFormat/>
    <w:pPr>
      <w:pBdr/>
      <w:spacing w:after="200" w:line="276" w:lineRule="auto"/>
      <w:ind w:left="720"/>
      <w:contextualSpacing w:val="true"/>
    </w:pPr>
    <w:rPr>
      <w:rFonts w:ascii="Calibri" w:hAnsi="Calibri" w:eastAsia="Calibri"/>
      <w:color w:val="auto"/>
      <w:sz w:val="22"/>
      <w:szCs w:val="22"/>
      <w:lang w:val="ru-RU" w:eastAsia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ONLYOFFICE/8.1.3.4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звіту про виконання регіональної програми за 2021 рік</dc:title>
  <dc:subject/>
  <dc:creator>Света</dc:creator>
  <cp:keywords/>
  <dc:description/>
  <cp:lastModifiedBy>Anonymous</cp:lastModifiedBy>
  <cp:revision>27</cp:revision>
  <dcterms:created xsi:type="dcterms:W3CDTF">2024-01-10T12:42:00Z</dcterms:created>
  <dcterms:modified xsi:type="dcterms:W3CDTF">2025-01-21T12:50:09Z</dcterms:modified>
</cp:coreProperties>
</file>